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CAA290" w14:textId="77777777" w:rsidR="00661A2F" w:rsidRPr="0096780E" w:rsidRDefault="00661A2F" w:rsidP="00661A2F">
      <w:pPr>
        <w:jc w:val="center"/>
        <w:rPr>
          <w:rFonts w:asciiTheme="majorHAnsi" w:hAnsiTheme="majorHAnsi"/>
          <w:b/>
          <w:sz w:val="28"/>
          <w:szCs w:val="28"/>
        </w:rPr>
      </w:pPr>
      <w:r w:rsidRPr="0096780E">
        <w:rPr>
          <w:rFonts w:asciiTheme="majorHAnsi" w:hAnsiTheme="majorHAnsi"/>
          <w:b/>
          <w:sz w:val="28"/>
          <w:szCs w:val="28"/>
        </w:rPr>
        <w:t xml:space="preserve">LEARNING </w:t>
      </w:r>
      <w:r>
        <w:rPr>
          <w:rFonts w:asciiTheme="majorHAnsi" w:hAnsiTheme="majorHAnsi"/>
          <w:b/>
          <w:sz w:val="28"/>
          <w:szCs w:val="28"/>
        </w:rPr>
        <w:t>and CLASSICAL CONDITIONING</w:t>
      </w:r>
    </w:p>
    <w:p w14:paraId="28CB58A3" w14:textId="77777777" w:rsidR="00661A2F" w:rsidRDefault="00661A2F" w:rsidP="00661A2F">
      <w:pPr>
        <w:rPr>
          <w:rFonts w:asciiTheme="majorHAnsi" w:hAnsiTheme="majorHAnsi"/>
          <w:b/>
          <w:sz w:val="32"/>
          <w:szCs w:val="32"/>
        </w:rPr>
      </w:pPr>
    </w:p>
    <w:p w14:paraId="1C143577" w14:textId="77777777" w:rsidR="00661A2F" w:rsidRPr="00661A2F" w:rsidRDefault="00661A2F" w:rsidP="00661A2F">
      <w:pPr>
        <w:rPr>
          <w:rFonts w:asciiTheme="majorHAnsi" w:hAnsiTheme="majorHAnsi"/>
          <w:sz w:val="28"/>
          <w:szCs w:val="28"/>
        </w:rPr>
      </w:pPr>
      <w:r w:rsidRPr="00661A2F">
        <w:rPr>
          <w:rFonts w:asciiTheme="majorHAnsi" w:hAnsiTheme="majorHAnsi"/>
          <w:b/>
          <w:sz w:val="28"/>
          <w:szCs w:val="28"/>
        </w:rPr>
        <w:t>Learning</w:t>
      </w:r>
      <w:r w:rsidRPr="00661A2F">
        <w:rPr>
          <w:rFonts w:asciiTheme="majorHAnsi" w:hAnsiTheme="majorHAnsi"/>
          <w:sz w:val="28"/>
          <w:szCs w:val="28"/>
        </w:rPr>
        <w:t xml:space="preserve"> is the process of acquiring new and relatively enduring information and behaviors. One way we learn is by </w:t>
      </w:r>
      <w:r w:rsidRPr="00661A2F">
        <w:rPr>
          <w:rFonts w:asciiTheme="majorHAnsi" w:hAnsiTheme="majorHAnsi"/>
          <w:b/>
          <w:sz w:val="28"/>
          <w:szCs w:val="28"/>
        </w:rPr>
        <w:t xml:space="preserve">associative learning </w:t>
      </w:r>
      <w:r w:rsidRPr="00661A2F">
        <w:rPr>
          <w:rFonts w:asciiTheme="majorHAnsi" w:hAnsiTheme="majorHAnsi"/>
          <w:sz w:val="28"/>
          <w:szCs w:val="28"/>
        </w:rPr>
        <w:t xml:space="preserve">which is when we learn that two events occur together. The other way is </w:t>
      </w:r>
      <w:r w:rsidRPr="00661A2F">
        <w:rPr>
          <w:rFonts w:asciiTheme="majorHAnsi" w:hAnsiTheme="majorHAnsi"/>
          <w:b/>
          <w:sz w:val="28"/>
          <w:szCs w:val="28"/>
        </w:rPr>
        <w:t>cognitive learning</w:t>
      </w:r>
      <w:r w:rsidRPr="00661A2F">
        <w:rPr>
          <w:rFonts w:asciiTheme="majorHAnsi" w:hAnsiTheme="majorHAnsi"/>
          <w:sz w:val="28"/>
          <w:szCs w:val="28"/>
        </w:rPr>
        <w:t xml:space="preserve"> which is the acquisition of mental information, whether by observing events, by watching others, or through language</w:t>
      </w:r>
    </w:p>
    <w:p w14:paraId="4E53DE50" w14:textId="77777777" w:rsidR="00661A2F" w:rsidRPr="00661A2F" w:rsidRDefault="00661A2F" w:rsidP="00661A2F">
      <w:pPr>
        <w:jc w:val="center"/>
        <w:rPr>
          <w:rFonts w:asciiTheme="majorHAnsi" w:hAnsiTheme="majorHAnsi"/>
          <w:b/>
          <w:sz w:val="28"/>
          <w:szCs w:val="28"/>
        </w:rPr>
      </w:pPr>
      <w:bookmarkStart w:id="0" w:name="_GoBack"/>
      <w:bookmarkEnd w:id="0"/>
    </w:p>
    <w:p w14:paraId="028472DD" w14:textId="77777777" w:rsidR="00661A2F" w:rsidRP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  <w:r w:rsidRPr="00661A2F">
        <w:rPr>
          <w:rFonts w:asciiTheme="majorHAnsi" w:hAnsiTheme="majorHAnsi"/>
          <w:b/>
          <w:sz w:val="28"/>
          <w:szCs w:val="28"/>
          <w:u w:val="single"/>
        </w:rPr>
        <w:t>CLASSICAL CONDITIONING</w:t>
      </w:r>
    </w:p>
    <w:p w14:paraId="2E374CEC" w14:textId="77777777" w:rsidR="00661A2F" w:rsidRPr="00661A2F" w:rsidRDefault="00661A2F" w:rsidP="00661A2F">
      <w:pPr>
        <w:rPr>
          <w:rFonts w:asciiTheme="majorHAnsi" w:hAnsiTheme="majorHAnsi"/>
          <w:sz w:val="28"/>
          <w:szCs w:val="28"/>
        </w:rPr>
      </w:pPr>
      <w:r w:rsidRPr="00661A2F">
        <w:rPr>
          <w:rFonts w:asciiTheme="majorHAnsi" w:hAnsiTheme="majorHAnsi"/>
          <w:sz w:val="28"/>
          <w:szCs w:val="28"/>
        </w:rPr>
        <w:t xml:space="preserve">Classical conditioning is a type of associative learning that is strongly tied to behaviorism. Classical conditioning is a simple form of learning in which one </w:t>
      </w:r>
      <w:r w:rsidRPr="00661A2F">
        <w:rPr>
          <w:rFonts w:asciiTheme="majorHAnsi" w:hAnsiTheme="majorHAnsi"/>
          <w:i/>
          <w:sz w:val="28"/>
          <w:szCs w:val="28"/>
        </w:rPr>
        <w:t xml:space="preserve">stimulus </w:t>
      </w:r>
      <w:r w:rsidRPr="00661A2F">
        <w:rPr>
          <w:rFonts w:asciiTheme="majorHAnsi" w:hAnsiTheme="majorHAnsi"/>
          <w:sz w:val="28"/>
          <w:szCs w:val="28"/>
        </w:rPr>
        <w:t xml:space="preserve">creates a </w:t>
      </w:r>
      <w:r w:rsidRPr="00661A2F">
        <w:rPr>
          <w:rFonts w:asciiTheme="majorHAnsi" w:hAnsiTheme="majorHAnsi"/>
          <w:i/>
          <w:sz w:val="28"/>
          <w:szCs w:val="28"/>
        </w:rPr>
        <w:t>response</w:t>
      </w:r>
      <w:r w:rsidRPr="00661A2F">
        <w:rPr>
          <w:rFonts w:asciiTheme="majorHAnsi" w:hAnsiTheme="majorHAnsi"/>
          <w:sz w:val="28"/>
          <w:szCs w:val="28"/>
        </w:rPr>
        <w:t xml:space="preserve"> that is usually called for by another stimulus. This occurs when two stimuli have been associated with each other.</w:t>
      </w:r>
    </w:p>
    <w:p w14:paraId="1A8EBBE7" w14:textId="77777777" w:rsidR="00661A2F" w:rsidRPr="00661A2F" w:rsidRDefault="00661A2F" w:rsidP="00661A2F">
      <w:pPr>
        <w:rPr>
          <w:rFonts w:asciiTheme="majorHAnsi" w:hAnsiTheme="majorHAnsi"/>
          <w:sz w:val="28"/>
          <w:szCs w:val="28"/>
        </w:rPr>
      </w:pPr>
    </w:p>
    <w:tbl>
      <w:tblPr>
        <w:tblStyle w:val="TableGrid"/>
        <w:tblW w:w="9630" w:type="dxa"/>
        <w:tblLook w:val="04A0" w:firstRow="1" w:lastRow="0" w:firstColumn="1" w:lastColumn="0" w:noHBand="0" w:noVBand="1"/>
      </w:tblPr>
      <w:tblGrid>
        <w:gridCol w:w="1692"/>
        <w:gridCol w:w="3636"/>
        <w:gridCol w:w="4266"/>
        <w:gridCol w:w="36"/>
      </w:tblGrid>
      <w:tr w:rsidR="00661A2F" w:rsidRPr="00661A2F" w14:paraId="0FE9845C" w14:textId="77777777" w:rsidTr="00174059">
        <w:trPr>
          <w:gridAfter w:val="1"/>
          <w:wAfter w:w="36" w:type="dxa"/>
        </w:trPr>
        <w:tc>
          <w:tcPr>
            <w:tcW w:w="1692" w:type="dxa"/>
          </w:tcPr>
          <w:p w14:paraId="70CB3FF1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</w:p>
        </w:tc>
        <w:tc>
          <w:tcPr>
            <w:tcW w:w="3636" w:type="dxa"/>
          </w:tcPr>
          <w:p w14:paraId="4060F524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sz w:val="28"/>
                <w:szCs w:val="28"/>
              </w:rPr>
              <w:t>Procedure</w:t>
            </w:r>
          </w:p>
        </w:tc>
        <w:tc>
          <w:tcPr>
            <w:tcW w:w="4266" w:type="dxa"/>
          </w:tcPr>
          <w:p w14:paraId="62A931D4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sz w:val="28"/>
                <w:szCs w:val="28"/>
              </w:rPr>
              <w:t>Result</w:t>
            </w:r>
          </w:p>
        </w:tc>
      </w:tr>
      <w:tr w:rsidR="00661A2F" w:rsidRPr="00661A2F" w14:paraId="709D9326" w14:textId="77777777" w:rsidTr="00174059">
        <w:trPr>
          <w:gridAfter w:val="1"/>
          <w:wAfter w:w="36" w:type="dxa"/>
        </w:trPr>
        <w:tc>
          <w:tcPr>
            <w:tcW w:w="1692" w:type="dxa"/>
          </w:tcPr>
          <w:p w14:paraId="0C8777F2" w14:textId="77777777" w:rsidR="00661A2F" w:rsidRPr="00661A2F" w:rsidRDefault="00661A2F" w:rsidP="00174059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61A2F">
              <w:rPr>
                <w:rFonts w:asciiTheme="majorHAnsi" w:hAnsiTheme="majorHAnsi"/>
                <w:b/>
                <w:sz w:val="28"/>
                <w:szCs w:val="28"/>
              </w:rPr>
              <w:t>Classical Conditioning</w:t>
            </w:r>
          </w:p>
        </w:tc>
        <w:tc>
          <w:tcPr>
            <w:tcW w:w="3636" w:type="dxa"/>
          </w:tcPr>
          <w:p w14:paraId="44112D12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sz w:val="28"/>
                <w:szCs w:val="28"/>
              </w:rPr>
              <w:t>Before conditioning is begun, an unconditioned stimulus (US) such as meat brings forth an unconditioned response (UR) such as salivation. During conditioning, a neutral stimulus (NS) such as a bell is paired with the unconditioned stimulus (US).</w:t>
            </w:r>
          </w:p>
        </w:tc>
        <w:tc>
          <w:tcPr>
            <w:tcW w:w="4266" w:type="dxa"/>
          </w:tcPr>
          <w:p w14:paraId="61FAE12E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sz w:val="28"/>
                <w:szCs w:val="28"/>
              </w:rPr>
              <w:t xml:space="preserve">The neutral stimulus (NS) becomes a conditioned stimulus (CS). The CS (bell) brings forth the CR (salivation). </w:t>
            </w:r>
          </w:p>
        </w:tc>
      </w:tr>
      <w:tr w:rsidR="00661A2F" w:rsidRPr="00661A2F" w14:paraId="73EB52EF" w14:textId="77777777" w:rsidTr="00174059">
        <w:trPr>
          <w:gridAfter w:val="1"/>
          <w:wAfter w:w="36" w:type="dxa"/>
        </w:trPr>
        <w:tc>
          <w:tcPr>
            <w:tcW w:w="1692" w:type="dxa"/>
          </w:tcPr>
          <w:p w14:paraId="68231928" w14:textId="77777777" w:rsidR="00661A2F" w:rsidRPr="00661A2F" w:rsidRDefault="00661A2F" w:rsidP="00174059">
            <w:pPr>
              <w:rPr>
                <w:rFonts w:asciiTheme="majorHAnsi" w:hAnsiTheme="majorHAnsi"/>
                <w:b/>
                <w:sz w:val="28"/>
                <w:szCs w:val="28"/>
              </w:rPr>
            </w:pPr>
            <w:r w:rsidRPr="00661A2F">
              <w:rPr>
                <w:rFonts w:asciiTheme="majorHAnsi" w:hAnsiTheme="majorHAnsi"/>
                <w:b/>
                <w:sz w:val="28"/>
                <w:szCs w:val="28"/>
              </w:rPr>
              <w:t>Example</w:t>
            </w:r>
          </w:p>
        </w:tc>
        <w:tc>
          <w:tcPr>
            <w:tcW w:w="3636" w:type="dxa"/>
          </w:tcPr>
          <w:p w14:paraId="2588F337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sz w:val="28"/>
                <w:szCs w:val="28"/>
              </w:rPr>
              <w:t xml:space="preserve">A child waits for her parents to come home. She hears a car drive up (neutral stimulus). Then her parents come inside (US). She becomes excited (UR) when she sees her parents come in. </w:t>
            </w:r>
          </w:p>
        </w:tc>
        <w:tc>
          <w:tcPr>
            <w:tcW w:w="4266" w:type="dxa"/>
          </w:tcPr>
          <w:p w14:paraId="11E75D19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sz w:val="28"/>
                <w:szCs w:val="28"/>
              </w:rPr>
              <w:t xml:space="preserve">After a few repetitions in which hearing the car is followed by her parents’ coming in, she becomes excited (CR) when she hears the car drive up (CS). </w:t>
            </w:r>
          </w:p>
        </w:tc>
      </w:tr>
      <w:tr w:rsidR="00661A2F" w:rsidRPr="00661A2F" w14:paraId="2E047709" w14:textId="77777777" w:rsidTr="00174059">
        <w:tc>
          <w:tcPr>
            <w:tcW w:w="9630" w:type="dxa"/>
            <w:gridSpan w:val="4"/>
          </w:tcPr>
          <w:p w14:paraId="25D98646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  <w:u w:val="single"/>
              </w:rPr>
            </w:pPr>
            <w:r w:rsidRPr="00661A2F">
              <w:rPr>
                <w:rFonts w:asciiTheme="majorHAnsi" w:hAnsiTheme="majorHAnsi"/>
                <w:sz w:val="28"/>
                <w:szCs w:val="28"/>
                <w:u w:val="single"/>
              </w:rPr>
              <w:t xml:space="preserve">Related Terms: </w:t>
            </w:r>
          </w:p>
          <w:p w14:paraId="2500F131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b/>
                <w:sz w:val="28"/>
                <w:szCs w:val="28"/>
              </w:rPr>
              <w:t>Acquisition</w:t>
            </w:r>
            <w:r w:rsidRPr="00661A2F">
              <w:rPr>
                <w:rFonts w:asciiTheme="majorHAnsi" w:hAnsiTheme="majorHAnsi"/>
                <w:sz w:val="28"/>
                <w:szCs w:val="28"/>
              </w:rPr>
              <w:t>—when on links a neutral stimulus and an unconditioned stimulus</w:t>
            </w:r>
          </w:p>
          <w:p w14:paraId="30319C66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b/>
                <w:sz w:val="28"/>
                <w:szCs w:val="28"/>
              </w:rPr>
              <w:t>Extinction</w:t>
            </w:r>
            <w:r w:rsidRPr="00661A2F">
              <w:rPr>
                <w:rFonts w:asciiTheme="majorHAnsi" w:hAnsiTheme="majorHAnsi"/>
                <w:sz w:val="28"/>
                <w:szCs w:val="28"/>
              </w:rPr>
              <w:t>—when the conditioned response diminishes, no longer a connection</w:t>
            </w:r>
          </w:p>
          <w:p w14:paraId="7A49C659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b/>
                <w:sz w:val="28"/>
                <w:szCs w:val="28"/>
              </w:rPr>
              <w:t>Spontaneous recovery</w:t>
            </w:r>
            <w:r w:rsidRPr="00661A2F">
              <w:rPr>
                <w:rFonts w:asciiTheme="majorHAnsi" w:hAnsiTheme="majorHAnsi"/>
                <w:sz w:val="28"/>
                <w:szCs w:val="28"/>
              </w:rPr>
              <w:t>—reappearance of an extinguished conditioned response</w:t>
            </w:r>
          </w:p>
          <w:p w14:paraId="7B4B479A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b/>
                <w:sz w:val="28"/>
                <w:szCs w:val="28"/>
              </w:rPr>
              <w:t>Generalization</w:t>
            </w:r>
            <w:r w:rsidRPr="00661A2F">
              <w:rPr>
                <w:rFonts w:asciiTheme="majorHAnsi" w:hAnsiTheme="majorHAnsi"/>
                <w:sz w:val="28"/>
                <w:szCs w:val="28"/>
              </w:rPr>
              <w:t>—tendency for stimuli similar to the conditions stimulus to elicit a similar response</w:t>
            </w:r>
          </w:p>
          <w:p w14:paraId="1206E824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Discrimination</w:t>
            </w:r>
            <w:r w:rsidRPr="00661A2F">
              <w:rPr>
                <w:rFonts w:asciiTheme="majorHAnsi" w:hAnsiTheme="majorHAnsi"/>
                <w:sz w:val="28"/>
                <w:szCs w:val="28"/>
              </w:rPr>
              <w:t>—learned ability to distinguish between a conditioned stimulus and stimuli that do not signal an unconditioned stimulus</w:t>
            </w:r>
          </w:p>
        </w:tc>
      </w:tr>
      <w:tr w:rsidR="00661A2F" w:rsidRPr="00661A2F" w14:paraId="3D034991" w14:textId="77777777" w:rsidTr="00174059">
        <w:tc>
          <w:tcPr>
            <w:tcW w:w="9630" w:type="dxa"/>
            <w:gridSpan w:val="4"/>
          </w:tcPr>
          <w:p w14:paraId="7C575275" w14:textId="77777777" w:rsidR="00661A2F" w:rsidRPr="00661A2F" w:rsidRDefault="00661A2F" w:rsidP="00174059">
            <w:pPr>
              <w:rPr>
                <w:rFonts w:asciiTheme="majorHAnsi" w:hAnsiTheme="majorHAnsi"/>
                <w:sz w:val="28"/>
                <w:szCs w:val="28"/>
              </w:rPr>
            </w:pPr>
            <w:r w:rsidRPr="00661A2F">
              <w:rPr>
                <w:rFonts w:asciiTheme="majorHAnsi" w:hAnsiTheme="majorHAnsi"/>
                <w:b/>
                <w:sz w:val="28"/>
                <w:szCs w:val="28"/>
              </w:rPr>
              <w:lastRenderedPageBreak/>
              <w:t>Famous studies</w:t>
            </w:r>
            <w:r w:rsidRPr="00661A2F">
              <w:rPr>
                <w:rFonts w:asciiTheme="majorHAnsi" w:hAnsiTheme="majorHAnsi"/>
                <w:sz w:val="28"/>
                <w:szCs w:val="28"/>
              </w:rPr>
              <w:t>: Ivan Pavlov and his study of dogs and salivation; John B. Watson and Rosalie Rayner’s study about “Little Albert”</w:t>
            </w:r>
          </w:p>
        </w:tc>
      </w:tr>
    </w:tbl>
    <w:p w14:paraId="422A0B47" w14:textId="77777777" w:rsidR="00661A2F" w:rsidRPr="00661A2F" w:rsidRDefault="00661A2F" w:rsidP="00661A2F">
      <w:pPr>
        <w:rPr>
          <w:rFonts w:asciiTheme="majorHAnsi" w:hAnsiTheme="majorHAnsi"/>
          <w:sz w:val="28"/>
          <w:szCs w:val="28"/>
        </w:rPr>
      </w:pPr>
    </w:p>
    <w:p w14:paraId="61FF8732" w14:textId="77777777" w:rsidR="00661A2F" w:rsidRPr="00661A2F" w:rsidRDefault="00661A2F" w:rsidP="00661A2F">
      <w:pPr>
        <w:rPr>
          <w:rFonts w:asciiTheme="majorHAnsi" w:hAnsiTheme="majorHAnsi"/>
          <w:sz w:val="28"/>
          <w:szCs w:val="28"/>
        </w:rPr>
      </w:pPr>
    </w:p>
    <w:p w14:paraId="22F2724A" w14:textId="77777777" w:rsidR="00661A2F" w:rsidRPr="00661A2F" w:rsidRDefault="00661A2F" w:rsidP="00661A2F">
      <w:pPr>
        <w:rPr>
          <w:rFonts w:asciiTheme="majorHAnsi" w:hAnsiTheme="majorHAnsi"/>
          <w:sz w:val="28"/>
          <w:szCs w:val="28"/>
        </w:rPr>
      </w:pPr>
      <w:r w:rsidRPr="00661A2F">
        <w:rPr>
          <w:rFonts w:asciiTheme="majorHAnsi" w:hAnsiTheme="majorHAnsi"/>
          <w:sz w:val="28"/>
          <w:szCs w:val="28"/>
        </w:rPr>
        <w:drawing>
          <wp:inline distT="0" distB="0" distL="0" distR="0" wp14:anchorId="11F3C709" wp14:editId="50276695">
            <wp:extent cx="5995035" cy="4458806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27146" cy="4482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754A7" w14:textId="77777777" w:rsidR="00661A2F" w:rsidRPr="00661A2F" w:rsidRDefault="00661A2F" w:rsidP="00661A2F">
      <w:pPr>
        <w:rPr>
          <w:rFonts w:asciiTheme="majorHAnsi" w:hAnsiTheme="majorHAnsi"/>
          <w:sz w:val="28"/>
          <w:szCs w:val="28"/>
        </w:rPr>
      </w:pPr>
    </w:p>
    <w:p w14:paraId="7C17675A" w14:textId="77777777" w:rsidR="00661A2F" w:rsidRPr="00661A2F" w:rsidRDefault="00661A2F" w:rsidP="00661A2F">
      <w:pPr>
        <w:rPr>
          <w:rFonts w:asciiTheme="majorHAnsi" w:hAnsiTheme="majorHAnsi"/>
          <w:sz w:val="28"/>
          <w:szCs w:val="28"/>
        </w:rPr>
      </w:pPr>
    </w:p>
    <w:p w14:paraId="28E4DBFC" w14:textId="77777777" w:rsidR="00661A2F" w:rsidRP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6ED828C9" w14:textId="77777777" w:rsid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75A1A9D7" w14:textId="77777777" w:rsid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55FDA300" w14:textId="77777777" w:rsid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7E63279D" w14:textId="77777777" w:rsid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3CF3B276" w14:textId="77777777" w:rsid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6C123F97" w14:textId="77777777" w:rsid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131E852F" w14:textId="77777777" w:rsid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14E82355" w14:textId="77777777" w:rsidR="00661A2F" w:rsidRDefault="00661A2F" w:rsidP="00661A2F">
      <w:pPr>
        <w:rPr>
          <w:rFonts w:asciiTheme="majorHAnsi" w:hAnsiTheme="majorHAnsi"/>
          <w:b/>
          <w:sz w:val="28"/>
          <w:szCs w:val="28"/>
          <w:u w:val="single"/>
        </w:rPr>
      </w:pPr>
    </w:p>
    <w:p w14:paraId="28A043C1" w14:textId="77777777" w:rsidR="00ED0182" w:rsidRDefault="00661A2F"/>
    <w:sectPr w:rsidR="00ED0182" w:rsidSect="00854D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1A2F"/>
    <w:rsid w:val="00206409"/>
    <w:rsid w:val="00661A2F"/>
    <w:rsid w:val="00854D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D775B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61A2F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61A2F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310</Words>
  <Characters>1769</Characters>
  <Application>Microsoft Macintosh Word</Application>
  <DocSecurity>0</DocSecurity>
  <Lines>14</Lines>
  <Paragraphs>4</Paragraphs>
  <ScaleCrop>false</ScaleCrop>
  <LinksUpToDate>false</LinksUpToDate>
  <CharactersWithSpaces>2075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Melcher</dc:creator>
  <cp:keywords/>
  <dc:description/>
  <cp:lastModifiedBy>Scott Melcher</cp:lastModifiedBy>
  <cp:revision>1</cp:revision>
  <dcterms:created xsi:type="dcterms:W3CDTF">2016-11-03T14:24:00Z</dcterms:created>
  <dcterms:modified xsi:type="dcterms:W3CDTF">2016-11-03T14:26:00Z</dcterms:modified>
</cp:coreProperties>
</file>